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5" w:vertAnchor="tex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3"/>
        <w:gridCol w:w="4242"/>
        <w:gridCol w:w="915"/>
        <w:gridCol w:w="2909"/>
        <w:gridCol w:w="3982"/>
      </w:tblGrid>
      <w:tr w:rsidR="00D806DE" w14:paraId="468A207D" w14:textId="77777777" w:rsidTr="00D806DE">
        <w:tc>
          <w:tcPr>
            <w:tcW w:w="0" w:type="auto"/>
            <w:shd w:val="clear" w:color="auto" w:fill="366092"/>
            <w:tcMar>
              <w:top w:w="0" w:type="dxa"/>
              <w:left w:w="108" w:type="dxa"/>
              <w:bottom w:w="0" w:type="dxa"/>
              <w:right w:w="108" w:type="dxa"/>
            </w:tcMar>
            <w:hideMark/>
          </w:tcPr>
          <w:p w14:paraId="36C6DD67" w14:textId="77777777" w:rsidR="00D806DE" w:rsidRDefault="00D806DE">
            <w:pPr>
              <w:spacing w:line="252" w:lineRule="auto"/>
              <w:rPr>
                <w:b/>
                <w:bCs/>
                <w:color w:val="FFFFFF"/>
                <w:sz w:val="20"/>
                <w:szCs w:val="20"/>
              </w:rPr>
            </w:pPr>
            <w:bookmarkStart w:id="0" w:name="_Hlk145504630"/>
            <w:r>
              <w:rPr>
                <w:b/>
                <w:bCs/>
                <w:color w:val="FFFFFF"/>
                <w:sz w:val="20"/>
                <w:szCs w:val="20"/>
              </w:rPr>
              <w:t>REV REQ NO.</w:t>
            </w:r>
          </w:p>
        </w:tc>
        <w:tc>
          <w:tcPr>
            <w:tcW w:w="4242" w:type="dxa"/>
            <w:shd w:val="clear" w:color="auto" w:fill="366092"/>
            <w:tcMar>
              <w:top w:w="0" w:type="dxa"/>
              <w:left w:w="108" w:type="dxa"/>
              <w:bottom w:w="0" w:type="dxa"/>
              <w:right w:w="108" w:type="dxa"/>
            </w:tcMar>
            <w:hideMark/>
          </w:tcPr>
          <w:p w14:paraId="06287D22" w14:textId="77777777" w:rsidR="00D806DE" w:rsidRDefault="00D806DE">
            <w:pPr>
              <w:spacing w:line="252" w:lineRule="auto"/>
              <w:rPr>
                <w:b/>
                <w:bCs/>
                <w:color w:val="FFFFFF"/>
                <w:sz w:val="20"/>
                <w:szCs w:val="20"/>
              </w:rPr>
            </w:pPr>
            <w:r>
              <w:rPr>
                <w:b/>
                <w:bCs/>
                <w:color w:val="FFFFFF"/>
                <w:sz w:val="20"/>
                <w:szCs w:val="20"/>
              </w:rPr>
              <w:t>DESCRIPTION</w:t>
            </w:r>
          </w:p>
        </w:tc>
        <w:tc>
          <w:tcPr>
            <w:tcW w:w="915" w:type="dxa"/>
            <w:shd w:val="clear" w:color="auto" w:fill="366092"/>
            <w:tcMar>
              <w:top w:w="0" w:type="dxa"/>
              <w:left w:w="108" w:type="dxa"/>
              <w:bottom w:w="0" w:type="dxa"/>
              <w:right w:w="108" w:type="dxa"/>
            </w:tcMar>
            <w:hideMark/>
          </w:tcPr>
          <w:p w14:paraId="5A55241E" w14:textId="77777777" w:rsidR="00D806DE" w:rsidRDefault="00D806DE">
            <w:pPr>
              <w:spacing w:line="252" w:lineRule="auto"/>
              <w:jc w:val="center"/>
              <w:rPr>
                <w:b/>
                <w:bCs/>
                <w:color w:val="FFFFFF"/>
                <w:sz w:val="20"/>
                <w:szCs w:val="20"/>
              </w:rPr>
            </w:pPr>
            <w:r>
              <w:rPr>
                <w:b/>
                <w:bCs/>
                <w:color w:val="FFFFFF"/>
                <w:sz w:val="20"/>
                <w:szCs w:val="20"/>
              </w:rPr>
              <w:t>URGENT</w:t>
            </w:r>
          </w:p>
        </w:tc>
        <w:tc>
          <w:tcPr>
            <w:tcW w:w="2909" w:type="dxa"/>
            <w:shd w:val="clear" w:color="auto" w:fill="366092"/>
            <w:tcMar>
              <w:top w:w="0" w:type="dxa"/>
              <w:left w:w="108" w:type="dxa"/>
              <w:bottom w:w="0" w:type="dxa"/>
              <w:right w:w="108" w:type="dxa"/>
            </w:tcMar>
            <w:hideMark/>
          </w:tcPr>
          <w:p w14:paraId="29914DB6" w14:textId="77777777" w:rsidR="00D806DE" w:rsidRDefault="00D806DE">
            <w:pPr>
              <w:spacing w:line="252" w:lineRule="auto"/>
              <w:rPr>
                <w:b/>
                <w:bCs/>
                <w:color w:val="FFFFFF"/>
                <w:sz w:val="20"/>
                <w:szCs w:val="20"/>
              </w:rPr>
            </w:pPr>
            <w:r>
              <w:rPr>
                <w:b/>
                <w:bCs/>
                <w:color w:val="FFFFFF"/>
                <w:sz w:val="20"/>
                <w:szCs w:val="20"/>
              </w:rPr>
              <w:t>ERCOT Opinion</w:t>
            </w:r>
          </w:p>
        </w:tc>
        <w:tc>
          <w:tcPr>
            <w:tcW w:w="3982" w:type="dxa"/>
            <w:shd w:val="clear" w:color="auto" w:fill="366092"/>
            <w:hideMark/>
          </w:tcPr>
          <w:p w14:paraId="465F0686" w14:textId="77777777" w:rsidR="00D806DE" w:rsidRDefault="00D806DE">
            <w:pPr>
              <w:spacing w:line="252" w:lineRule="auto"/>
              <w:rPr>
                <w:b/>
                <w:bCs/>
                <w:color w:val="FFFFFF"/>
                <w:sz w:val="20"/>
                <w:szCs w:val="20"/>
              </w:rPr>
            </w:pPr>
            <w:r>
              <w:rPr>
                <w:b/>
                <w:bCs/>
                <w:color w:val="FFFFFF"/>
                <w:sz w:val="20"/>
                <w:szCs w:val="20"/>
              </w:rPr>
              <w:t>ERCOT Market Impact Statement</w:t>
            </w:r>
          </w:p>
        </w:tc>
      </w:tr>
      <w:tr w:rsidR="00D806DE" w14:paraId="26626460" w14:textId="77777777" w:rsidTr="00D806DE">
        <w:tc>
          <w:tcPr>
            <w:tcW w:w="0" w:type="auto"/>
            <w:tcMar>
              <w:top w:w="0" w:type="dxa"/>
              <w:left w:w="108" w:type="dxa"/>
              <w:bottom w:w="0" w:type="dxa"/>
              <w:right w:w="108" w:type="dxa"/>
            </w:tcMar>
          </w:tcPr>
          <w:p w14:paraId="10AEA94D" w14:textId="28E3589D" w:rsidR="00D806DE" w:rsidRDefault="00D806DE" w:rsidP="00C973F1">
            <w:pPr>
              <w:spacing w:line="252" w:lineRule="auto"/>
              <w:rPr>
                <w:b/>
                <w:bCs/>
                <w:color w:val="000000"/>
                <w:sz w:val="20"/>
                <w:szCs w:val="20"/>
              </w:rPr>
            </w:pPr>
            <w:r>
              <w:rPr>
                <w:rFonts w:cs="Calibri"/>
                <w:b/>
                <w:bCs/>
                <w:color w:val="000000"/>
                <w:sz w:val="20"/>
                <w:szCs w:val="20"/>
              </w:rPr>
              <w:t>105PGRR</w:t>
            </w:r>
          </w:p>
        </w:tc>
        <w:tc>
          <w:tcPr>
            <w:tcW w:w="4242" w:type="dxa"/>
            <w:tcMar>
              <w:top w:w="0" w:type="dxa"/>
              <w:left w:w="108" w:type="dxa"/>
              <w:bottom w:w="0" w:type="dxa"/>
              <w:right w:w="108" w:type="dxa"/>
            </w:tcMar>
          </w:tcPr>
          <w:p w14:paraId="17A1ACF1" w14:textId="34CB45EB" w:rsidR="00D806DE" w:rsidRDefault="00D806DE" w:rsidP="00C973F1">
            <w:pPr>
              <w:spacing w:line="252" w:lineRule="auto"/>
              <w:rPr>
                <w:b/>
                <w:bCs/>
                <w:sz w:val="20"/>
                <w:szCs w:val="20"/>
              </w:rPr>
            </w:pPr>
            <w:r>
              <w:rPr>
                <w:rFonts w:cs="Calibri"/>
                <w:b/>
                <w:bCs/>
                <w:color w:val="000000"/>
                <w:sz w:val="20"/>
                <w:szCs w:val="20"/>
              </w:rPr>
              <w:t xml:space="preserve">Deliverability Criteria for DC Tie Imports.  </w:t>
            </w:r>
            <w:r>
              <w:rPr>
                <w:rFonts w:cs="Calibri"/>
                <w:color w:val="000000"/>
                <w:sz w:val="20"/>
                <w:szCs w:val="20"/>
              </w:rPr>
              <w:t>This Planning Guide Revision Request (PGRR) adds Direct Current Tie (DC Tie) Resources to the list of Resources for which the minimum deliverability condition applies.  [REMC]</w:t>
            </w:r>
          </w:p>
        </w:tc>
        <w:tc>
          <w:tcPr>
            <w:tcW w:w="915" w:type="dxa"/>
            <w:tcMar>
              <w:top w:w="0" w:type="dxa"/>
              <w:left w:w="108" w:type="dxa"/>
              <w:bottom w:w="0" w:type="dxa"/>
              <w:right w:w="108" w:type="dxa"/>
            </w:tcMar>
          </w:tcPr>
          <w:p w14:paraId="30745558" w14:textId="75461BC3" w:rsidR="00D806DE" w:rsidRDefault="00D806DE" w:rsidP="00C973F1">
            <w:pPr>
              <w:spacing w:line="252" w:lineRule="auto"/>
              <w:jc w:val="center"/>
              <w:rPr>
                <w:sz w:val="20"/>
                <w:szCs w:val="20"/>
              </w:rPr>
            </w:pPr>
            <w:r>
              <w:rPr>
                <w:rFonts w:cs="Calibri"/>
                <w:color w:val="000000"/>
                <w:sz w:val="20"/>
                <w:szCs w:val="20"/>
              </w:rPr>
              <w:t>N</w:t>
            </w:r>
          </w:p>
        </w:tc>
        <w:tc>
          <w:tcPr>
            <w:tcW w:w="2909" w:type="dxa"/>
            <w:tcMar>
              <w:top w:w="0" w:type="dxa"/>
              <w:left w:w="108" w:type="dxa"/>
              <w:bottom w:w="0" w:type="dxa"/>
              <w:right w:w="108" w:type="dxa"/>
            </w:tcMar>
          </w:tcPr>
          <w:p w14:paraId="29C41C3C" w14:textId="7F47B423" w:rsidR="00D806DE" w:rsidRDefault="00D806DE" w:rsidP="00C973F1">
            <w:pPr>
              <w:spacing w:line="252" w:lineRule="auto"/>
              <w:rPr>
                <w:sz w:val="20"/>
                <w:szCs w:val="20"/>
              </w:rPr>
            </w:pPr>
            <w:r w:rsidRPr="006B4142">
              <w:rPr>
                <w:sz w:val="20"/>
                <w:szCs w:val="20"/>
              </w:rPr>
              <w:t>ERCOT does not support approval of</w:t>
            </w:r>
            <w:r>
              <w:rPr>
                <w:sz w:val="20"/>
                <w:szCs w:val="20"/>
              </w:rPr>
              <w:t xml:space="preserve"> </w:t>
            </w:r>
            <w:r w:rsidRPr="006B4142">
              <w:rPr>
                <w:sz w:val="20"/>
                <w:szCs w:val="20"/>
              </w:rPr>
              <w:t>PGRR105</w:t>
            </w:r>
            <w:r>
              <w:rPr>
                <w:sz w:val="20"/>
                <w:szCs w:val="20"/>
              </w:rPr>
              <w:t xml:space="preserve"> as recommended by ROS in the 9/7/23 ROS Report.</w:t>
            </w:r>
          </w:p>
        </w:tc>
        <w:tc>
          <w:tcPr>
            <w:tcW w:w="3982" w:type="dxa"/>
          </w:tcPr>
          <w:p w14:paraId="637BFB3E" w14:textId="6EE58F8F" w:rsidR="00D806DE" w:rsidRDefault="00D806DE" w:rsidP="00C973F1">
            <w:pPr>
              <w:spacing w:line="252" w:lineRule="auto"/>
              <w:rPr>
                <w:sz w:val="20"/>
                <w:szCs w:val="20"/>
              </w:rPr>
            </w:pPr>
            <w:r w:rsidRPr="006B4142">
              <w:rPr>
                <w:sz w:val="20"/>
                <w:szCs w:val="20"/>
              </w:rPr>
              <w:t>ERCOT Staff has reviewed PGRR105 and believes that it is contrary to a recent decision of the Public Utility Commission of Texas (PUCT) and that it raises a policy issue that is best suited for the PUCT</w:t>
            </w:r>
            <w:r>
              <w:rPr>
                <w:sz w:val="20"/>
                <w:szCs w:val="20"/>
              </w:rPr>
              <w:t>.</w:t>
            </w:r>
          </w:p>
        </w:tc>
      </w:tr>
      <w:tr w:rsidR="00D806DE" w14:paraId="37078B65" w14:textId="77777777" w:rsidTr="00D806DE">
        <w:tc>
          <w:tcPr>
            <w:tcW w:w="0" w:type="auto"/>
            <w:tcMar>
              <w:top w:w="0" w:type="dxa"/>
              <w:left w:w="108" w:type="dxa"/>
              <w:bottom w:w="0" w:type="dxa"/>
              <w:right w:w="108" w:type="dxa"/>
            </w:tcMar>
          </w:tcPr>
          <w:p w14:paraId="565825B6" w14:textId="1DA40E6A" w:rsidR="00D806DE" w:rsidRDefault="00D806DE" w:rsidP="00C973F1">
            <w:pPr>
              <w:spacing w:line="252" w:lineRule="auto"/>
              <w:rPr>
                <w:rFonts w:cs="Calibri"/>
                <w:b/>
                <w:bCs/>
                <w:color w:val="000000"/>
                <w:sz w:val="20"/>
                <w:szCs w:val="20"/>
              </w:rPr>
            </w:pPr>
            <w:r>
              <w:rPr>
                <w:rFonts w:cs="Calibri"/>
                <w:b/>
                <w:bCs/>
                <w:color w:val="000000"/>
                <w:sz w:val="20"/>
                <w:szCs w:val="20"/>
              </w:rPr>
              <w:t>1184NPRR</w:t>
            </w:r>
          </w:p>
        </w:tc>
        <w:tc>
          <w:tcPr>
            <w:tcW w:w="4242" w:type="dxa"/>
            <w:tcMar>
              <w:top w:w="0" w:type="dxa"/>
              <w:left w:w="108" w:type="dxa"/>
              <w:bottom w:w="0" w:type="dxa"/>
              <w:right w:w="108" w:type="dxa"/>
            </w:tcMar>
          </w:tcPr>
          <w:p w14:paraId="0EAB887E" w14:textId="39C9B4AD" w:rsidR="00D806DE" w:rsidRDefault="00D806DE" w:rsidP="00C973F1">
            <w:pPr>
              <w:spacing w:line="252" w:lineRule="auto"/>
              <w:rPr>
                <w:rFonts w:cs="Calibri"/>
                <w:b/>
                <w:bCs/>
                <w:sz w:val="20"/>
                <w:szCs w:val="20"/>
              </w:rPr>
            </w:pPr>
            <w:r>
              <w:rPr>
                <w:rFonts w:cs="Calibri"/>
                <w:b/>
                <w:bCs/>
                <w:color w:val="000000"/>
                <w:sz w:val="20"/>
                <w:szCs w:val="20"/>
              </w:rPr>
              <w:t xml:space="preserve">Update to Procedures for Managing Interest on Cash Collateral.  </w:t>
            </w:r>
            <w:r>
              <w:rPr>
                <w:rFonts w:cs="Calibri"/>
                <w:color w:val="000000"/>
                <w:sz w:val="20"/>
                <w:szCs w:val="20"/>
              </w:rPr>
              <w:t xml:space="preserve">This Nodal Protocol Revision Request (NPRR) clarifies ERCOT’s management of interest received by ERCOT and owed to </w:t>
            </w:r>
            <w:proofErr w:type="gramStart"/>
            <w:r>
              <w:rPr>
                <w:rFonts w:cs="Calibri"/>
                <w:color w:val="000000"/>
                <w:sz w:val="20"/>
                <w:szCs w:val="20"/>
              </w:rPr>
              <w:t>Counter-Parties</w:t>
            </w:r>
            <w:proofErr w:type="gramEnd"/>
            <w:r>
              <w:rPr>
                <w:rFonts w:cs="Calibri"/>
                <w:color w:val="000000"/>
                <w:sz w:val="20"/>
                <w:szCs w:val="20"/>
              </w:rPr>
              <w:t xml:space="preserve"> for posted Cash Collateral, and requires ERCOT to credit Counter-Party Collateral accounts for interest on a monthly basis, as opposed to the current annual process. Additionally, this NPRR requires ERCOT to report the interest calculation.  [Tenaska]</w:t>
            </w:r>
          </w:p>
        </w:tc>
        <w:tc>
          <w:tcPr>
            <w:tcW w:w="915" w:type="dxa"/>
            <w:tcMar>
              <w:top w:w="0" w:type="dxa"/>
              <w:left w:w="108" w:type="dxa"/>
              <w:bottom w:w="0" w:type="dxa"/>
              <w:right w:w="108" w:type="dxa"/>
            </w:tcMar>
          </w:tcPr>
          <w:p w14:paraId="65A0074A" w14:textId="0A252538" w:rsidR="00D806DE" w:rsidRDefault="00D806DE" w:rsidP="00C973F1">
            <w:pPr>
              <w:spacing w:line="252" w:lineRule="auto"/>
              <w:jc w:val="center"/>
              <w:rPr>
                <w:rFonts w:cs="Calibri"/>
                <w:sz w:val="20"/>
                <w:szCs w:val="20"/>
              </w:rPr>
            </w:pPr>
            <w:r>
              <w:rPr>
                <w:rFonts w:cs="Calibri"/>
                <w:color w:val="000000"/>
                <w:sz w:val="20"/>
                <w:szCs w:val="20"/>
              </w:rPr>
              <w:t>N</w:t>
            </w:r>
          </w:p>
        </w:tc>
        <w:tc>
          <w:tcPr>
            <w:tcW w:w="2909" w:type="dxa"/>
            <w:tcMar>
              <w:top w:w="0" w:type="dxa"/>
              <w:left w:w="108" w:type="dxa"/>
              <w:bottom w:w="0" w:type="dxa"/>
              <w:right w:w="108" w:type="dxa"/>
            </w:tcMar>
          </w:tcPr>
          <w:p w14:paraId="2A061179" w14:textId="2AEA6490" w:rsidR="00D806DE" w:rsidRDefault="00D806DE" w:rsidP="00C973F1">
            <w:pPr>
              <w:spacing w:line="252" w:lineRule="auto"/>
              <w:rPr>
                <w:sz w:val="20"/>
                <w:szCs w:val="20"/>
              </w:rPr>
            </w:pPr>
            <w:r>
              <w:rPr>
                <w:sz w:val="20"/>
                <w:szCs w:val="20"/>
              </w:rPr>
              <w:t>ERCOT supports approval of NPRR1184</w:t>
            </w:r>
          </w:p>
        </w:tc>
        <w:tc>
          <w:tcPr>
            <w:tcW w:w="3982" w:type="dxa"/>
          </w:tcPr>
          <w:p w14:paraId="45D92905" w14:textId="6B5B5556" w:rsidR="00D806DE" w:rsidRDefault="00D806DE" w:rsidP="00C973F1">
            <w:pPr>
              <w:spacing w:line="252" w:lineRule="auto"/>
              <w:rPr>
                <w:sz w:val="20"/>
                <w:szCs w:val="20"/>
              </w:rPr>
            </w:pPr>
            <w:r w:rsidRPr="00AA7466">
              <w:rPr>
                <w:sz w:val="20"/>
                <w:szCs w:val="20"/>
              </w:rPr>
              <w:t xml:space="preserve">ERCOT Staff has reviewed NPRR1184 and believes that it provides a positive market impact by creating market efficiencies and enhancements through, both, the clarification of ERCOT’s management of interest that is received by ERCOT and owed to </w:t>
            </w:r>
            <w:proofErr w:type="gramStart"/>
            <w:r w:rsidRPr="00AA7466">
              <w:rPr>
                <w:sz w:val="20"/>
                <w:szCs w:val="20"/>
              </w:rPr>
              <w:t>Counter-Parties</w:t>
            </w:r>
            <w:proofErr w:type="gramEnd"/>
            <w:r w:rsidRPr="00AA7466">
              <w:rPr>
                <w:sz w:val="20"/>
                <w:szCs w:val="20"/>
              </w:rPr>
              <w:t xml:space="preserve"> for posted Cash Collateral, and the requirement that ERCOT credit Counter-Party Collateral accounts for interest on a monthly basis and report the interest calculation.</w:t>
            </w:r>
          </w:p>
        </w:tc>
      </w:tr>
      <w:tr w:rsidR="00D806DE" w14:paraId="52E322EA" w14:textId="77777777" w:rsidTr="00D806DE">
        <w:tc>
          <w:tcPr>
            <w:tcW w:w="0" w:type="auto"/>
            <w:tcMar>
              <w:top w:w="0" w:type="dxa"/>
              <w:left w:w="108" w:type="dxa"/>
              <w:bottom w:w="0" w:type="dxa"/>
              <w:right w:w="108" w:type="dxa"/>
            </w:tcMar>
          </w:tcPr>
          <w:p w14:paraId="3613EE0B" w14:textId="26FB8E73" w:rsidR="00D806DE" w:rsidRDefault="00D806DE" w:rsidP="00983F8E">
            <w:pPr>
              <w:spacing w:line="252" w:lineRule="auto"/>
              <w:rPr>
                <w:rFonts w:cs="Calibri"/>
                <w:b/>
                <w:bCs/>
                <w:color w:val="000000"/>
                <w:sz w:val="20"/>
                <w:szCs w:val="20"/>
              </w:rPr>
            </w:pPr>
            <w:r>
              <w:rPr>
                <w:rFonts w:cs="Calibri"/>
                <w:b/>
                <w:bCs/>
                <w:color w:val="000000"/>
                <w:sz w:val="20"/>
                <w:szCs w:val="20"/>
              </w:rPr>
              <w:t>824SCR</w:t>
            </w:r>
          </w:p>
        </w:tc>
        <w:tc>
          <w:tcPr>
            <w:tcW w:w="4242" w:type="dxa"/>
            <w:tcMar>
              <w:top w:w="0" w:type="dxa"/>
              <w:left w:w="108" w:type="dxa"/>
              <w:bottom w:w="0" w:type="dxa"/>
              <w:right w:w="108" w:type="dxa"/>
            </w:tcMar>
          </w:tcPr>
          <w:p w14:paraId="359FEECB" w14:textId="1B94A5C6" w:rsidR="00D806DE" w:rsidRDefault="00D806DE" w:rsidP="00983F8E">
            <w:pPr>
              <w:spacing w:line="252" w:lineRule="auto"/>
              <w:rPr>
                <w:rFonts w:cs="Calibri"/>
                <w:b/>
                <w:bCs/>
                <w:color w:val="000000"/>
                <w:sz w:val="20"/>
                <w:szCs w:val="20"/>
              </w:rPr>
            </w:pPr>
            <w:r>
              <w:rPr>
                <w:rFonts w:cs="Calibri"/>
                <w:b/>
                <w:bCs/>
                <w:color w:val="000000"/>
                <w:sz w:val="20"/>
                <w:szCs w:val="20"/>
              </w:rPr>
              <w:t xml:space="preserve">Increase File Size and Quantity Limits for RIOO Attachments. </w:t>
            </w:r>
            <w:r>
              <w:rPr>
                <w:rFonts w:cs="Calibri"/>
                <w:color w:val="000000"/>
                <w:sz w:val="20"/>
                <w:szCs w:val="20"/>
              </w:rPr>
              <w:t xml:space="preserve"> This System Change Request (SCR) increases the attachment file size and quantities allowed within the Resource Integration and Ongoing Operations (RIOO) system.  [GCI]</w:t>
            </w:r>
          </w:p>
        </w:tc>
        <w:tc>
          <w:tcPr>
            <w:tcW w:w="915" w:type="dxa"/>
            <w:tcMar>
              <w:top w:w="0" w:type="dxa"/>
              <w:left w:w="108" w:type="dxa"/>
              <w:bottom w:w="0" w:type="dxa"/>
              <w:right w:w="108" w:type="dxa"/>
            </w:tcMar>
          </w:tcPr>
          <w:p w14:paraId="5398B092" w14:textId="30A86829" w:rsidR="00D806DE" w:rsidRDefault="00D806DE" w:rsidP="00983F8E">
            <w:pPr>
              <w:spacing w:line="252" w:lineRule="auto"/>
              <w:jc w:val="center"/>
              <w:rPr>
                <w:rFonts w:cs="Calibri"/>
                <w:color w:val="000000"/>
                <w:sz w:val="20"/>
                <w:szCs w:val="20"/>
              </w:rPr>
            </w:pPr>
            <w:r>
              <w:rPr>
                <w:rFonts w:cs="Calibri"/>
                <w:color w:val="000000"/>
                <w:sz w:val="20"/>
                <w:szCs w:val="20"/>
              </w:rPr>
              <w:t>N</w:t>
            </w:r>
          </w:p>
        </w:tc>
        <w:tc>
          <w:tcPr>
            <w:tcW w:w="2909" w:type="dxa"/>
            <w:tcMar>
              <w:top w:w="0" w:type="dxa"/>
              <w:left w:w="108" w:type="dxa"/>
              <w:bottom w:w="0" w:type="dxa"/>
              <w:right w:w="108" w:type="dxa"/>
            </w:tcMar>
          </w:tcPr>
          <w:p w14:paraId="4BB8C5B8" w14:textId="38EBEE4E" w:rsidR="00D806DE" w:rsidRDefault="00D806DE" w:rsidP="00983F8E">
            <w:pPr>
              <w:spacing w:line="252" w:lineRule="auto"/>
              <w:rPr>
                <w:sz w:val="20"/>
                <w:szCs w:val="20"/>
              </w:rPr>
            </w:pPr>
            <w:r>
              <w:rPr>
                <w:sz w:val="20"/>
                <w:szCs w:val="20"/>
              </w:rPr>
              <w:t>ERCOT supports approval of SCR824</w:t>
            </w:r>
          </w:p>
        </w:tc>
        <w:tc>
          <w:tcPr>
            <w:tcW w:w="3982" w:type="dxa"/>
          </w:tcPr>
          <w:p w14:paraId="0A8607BA" w14:textId="29E5B2C3" w:rsidR="00D806DE" w:rsidRPr="00114E53" w:rsidRDefault="00D806DE" w:rsidP="00983F8E">
            <w:pPr>
              <w:spacing w:line="252" w:lineRule="auto"/>
              <w:rPr>
                <w:sz w:val="20"/>
                <w:szCs w:val="20"/>
              </w:rPr>
            </w:pPr>
            <w:r>
              <w:rPr>
                <w:sz w:val="20"/>
                <w:szCs w:val="20"/>
              </w:rPr>
              <w:t>ERCOT Staff has reviewed SCR824 and believes it has a positive market impact by increasing the file sizes and quantities for attachments within RIOO without negatively impacting loading and processing times.</w:t>
            </w:r>
          </w:p>
        </w:tc>
      </w:tr>
      <w:tr w:rsidR="00D806DE" w14:paraId="2F768A9B" w14:textId="77777777" w:rsidTr="00D806DE">
        <w:tc>
          <w:tcPr>
            <w:tcW w:w="0" w:type="auto"/>
            <w:tcMar>
              <w:top w:w="0" w:type="dxa"/>
              <w:left w:w="108" w:type="dxa"/>
              <w:bottom w:w="0" w:type="dxa"/>
              <w:right w:w="108" w:type="dxa"/>
            </w:tcMar>
          </w:tcPr>
          <w:p w14:paraId="465CAE4E" w14:textId="56B90CE0" w:rsidR="00D806DE" w:rsidRDefault="00D806DE" w:rsidP="00CF23D4">
            <w:pPr>
              <w:spacing w:line="252" w:lineRule="auto"/>
              <w:rPr>
                <w:rFonts w:cs="Calibri"/>
                <w:b/>
                <w:bCs/>
                <w:color w:val="000000"/>
                <w:sz w:val="20"/>
                <w:szCs w:val="20"/>
              </w:rPr>
            </w:pPr>
            <w:r>
              <w:rPr>
                <w:rFonts w:cs="Calibri"/>
                <w:b/>
                <w:bCs/>
                <w:color w:val="000000"/>
                <w:sz w:val="20"/>
                <w:szCs w:val="20"/>
              </w:rPr>
              <w:t>245NOGRR</w:t>
            </w:r>
          </w:p>
        </w:tc>
        <w:tc>
          <w:tcPr>
            <w:tcW w:w="4242" w:type="dxa"/>
            <w:tcMar>
              <w:top w:w="0" w:type="dxa"/>
              <w:left w:w="108" w:type="dxa"/>
              <w:bottom w:w="0" w:type="dxa"/>
              <w:right w:w="108" w:type="dxa"/>
            </w:tcMar>
          </w:tcPr>
          <w:p w14:paraId="6C97CD5C" w14:textId="6C9DFEDC" w:rsidR="00D806DE" w:rsidRDefault="00D806DE" w:rsidP="00CF23D4">
            <w:pPr>
              <w:rPr>
                <w:rFonts w:cs="Calibri"/>
                <w:b/>
                <w:bCs/>
                <w:color w:val="000000"/>
                <w:sz w:val="20"/>
                <w:szCs w:val="20"/>
              </w:rPr>
            </w:pPr>
            <w:r>
              <w:rPr>
                <w:rFonts w:cs="Calibri"/>
                <w:b/>
                <w:bCs/>
                <w:color w:val="000000"/>
                <w:sz w:val="20"/>
                <w:szCs w:val="20"/>
              </w:rPr>
              <w:t xml:space="preserve">Inverter-Based Resource (IBR) Ride-Through Requirements.  </w:t>
            </w:r>
            <w:r>
              <w:rPr>
                <w:rFonts w:cs="Calibri"/>
                <w:color w:val="000000"/>
                <w:sz w:val="20"/>
                <w:szCs w:val="20"/>
              </w:rPr>
              <w:t>This NOGRR replaces the current voltage ride-through requirements for Intermittent Renewable Resources (IRRs) with voltage ride-through requirements for Inverter-Based Resources (IBRs) and provides new frequency ride-through requirements for IBRs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  It also requires all IBRs to improve performance to meet these standards, and establishes compliance requirements for Resource Entities when it is commercially reasonable to do so. [ERCOT]</w:t>
            </w:r>
          </w:p>
        </w:tc>
        <w:tc>
          <w:tcPr>
            <w:tcW w:w="915" w:type="dxa"/>
            <w:tcMar>
              <w:top w:w="0" w:type="dxa"/>
              <w:left w:w="108" w:type="dxa"/>
              <w:bottom w:w="0" w:type="dxa"/>
              <w:right w:w="108" w:type="dxa"/>
            </w:tcMar>
          </w:tcPr>
          <w:p w14:paraId="16AE3943" w14:textId="075F21A4" w:rsidR="00D806DE" w:rsidRDefault="00D806DE" w:rsidP="00CF23D4">
            <w:pPr>
              <w:spacing w:line="252" w:lineRule="auto"/>
              <w:jc w:val="center"/>
              <w:rPr>
                <w:rFonts w:cs="Calibri"/>
                <w:color w:val="000000"/>
                <w:sz w:val="20"/>
                <w:szCs w:val="20"/>
              </w:rPr>
            </w:pPr>
            <w:r>
              <w:rPr>
                <w:rFonts w:cs="Calibri"/>
                <w:color w:val="000000"/>
                <w:sz w:val="20"/>
                <w:szCs w:val="20"/>
              </w:rPr>
              <w:t>Y</w:t>
            </w:r>
          </w:p>
        </w:tc>
        <w:tc>
          <w:tcPr>
            <w:tcW w:w="2909" w:type="dxa"/>
            <w:tcMar>
              <w:top w:w="0" w:type="dxa"/>
              <w:left w:w="108" w:type="dxa"/>
              <w:bottom w:w="0" w:type="dxa"/>
              <w:right w:w="108" w:type="dxa"/>
            </w:tcMar>
          </w:tcPr>
          <w:p w14:paraId="38B5B35F" w14:textId="721D7446" w:rsidR="00D806DE" w:rsidRDefault="00D806DE" w:rsidP="00CF23D4">
            <w:pPr>
              <w:spacing w:line="231" w:lineRule="atLeast"/>
              <w:rPr>
                <w:color w:val="000000"/>
                <w:sz w:val="20"/>
                <w:szCs w:val="20"/>
              </w:rPr>
            </w:pPr>
            <w:bookmarkStart w:id="1" w:name="_Hlk146095104"/>
            <w:r>
              <w:rPr>
                <w:color w:val="000000"/>
                <w:sz w:val="20"/>
                <w:szCs w:val="20"/>
              </w:rPr>
              <w:t xml:space="preserve">ERCOT does not support approval of NOGRR245 as recommended by ROS in the 9/14/23 ROS Report as it does not address the critical reliability risk NOGRR245 intends to address.  </w:t>
            </w:r>
          </w:p>
          <w:bookmarkEnd w:id="1"/>
          <w:p w14:paraId="2DAF21A0" w14:textId="77777777" w:rsidR="00D806DE" w:rsidRDefault="00D806DE" w:rsidP="00CF23D4">
            <w:pPr>
              <w:spacing w:line="231" w:lineRule="atLeast"/>
              <w:rPr>
                <w:color w:val="000000"/>
                <w:sz w:val="20"/>
                <w:szCs w:val="20"/>
              </w:rPr>
            </w:pPr>
          </w:p>
          <w:p w14:paraId="48DB07E8" w14:textId="729A7A4B" w:rsidR="00D806DE" w:rsidRPr="00CF23D4" w:rsidRDefault="00D806DE" w:rsidP="00CF23D4">
            <w:pPr>
              <w:spacing w:line="231" w:lineRule="atLeast"/>
              <w:rPr>
                <w:color w:val="000000"/>
                <w:sz w:val="20"/>
                <w:szCs w:val="20"/>
              </w:rPr>
            </w:pPr>
            <w:r w:rsidRPr="003250D8">
              <w:rPr>
                <w:color w:val="000000"/>
                <w:sz w:val="20"/>
                <w:szCs w:val="20"/>
              </w:rPr>
              <w:t xml:space="preserve"> </w:t>
            </w:r>
          </w:p>
        </w:tc>
        <w:tc>
          <w:tcPr>
            <w:tcW w:w="3982" w:type="dxa"/>
          </w:tcPr>
          <w:p w14:paraId="2DF91EFE" w14:textId="1765C5ED" w:rsidR="00D806DE" w:rsidRDefault="00D806DE" w:rsidP="00CF23D4">
            <w:pPr>
              <w:spacing w:line="231" w:lineRule="atLeast"/>
              <w:rPr>
                <w:color w:val="000000"/>
                <w:sz w:val="20"/>
                <w:szCs w:val="20"/>
              </w:rPr>
            </w:pPr>
            <w:r>
              <w:rPr>
                <w:color w:val="000000"/>
                <w:sz w:val="20"/>
                <w:szCs w:val="20"/>
              </w:rPr>
              <w:t xml:space="preserve">ERCOT Staff has reviewed NOGRR245 and believes that end users of the ERCOT System (i.e., wholesale and retail customers) will continue to face exposure to the current high risk of instability and uncontrolled outages up to a system-wide blackout due to the ROS-approved language allowing inadequate ride-through performance requirements for Resource Entities of IBRs and Type 1 and Type 2 WGRs that self-identify if the requirements are not “commercially reasonable” in their determination, among other issues, which do not assure reliable operations.  The associated events will likely lead to higher prices due to system outages and even more stringent regulator reforms after additional major events or catastrophes are realized.  Market Participants can expect to routinely encounter additional events every year </w:t>
            </w:r>
            <w:r>
              <w:rPr>
                <w:color w:val="000000"/>
                <w:sz w:val="20"/>
                <w:szCs w:val="20"/>
              </w:rPr>
              <w:lastRenderedPageBreak/>
              <w:t>like the Odessa events - or worse - including requests for information (“RFIs”), event analysis, and potential NERC, FERC, or PUCT investigations and administrative penalties.</w:t>
            </w:r>
          </w:p>
          <w:p w14:paraId="4926CED7" w14:textId="77777777" w:rsidR="00D806DE" w:rsidRDefault="00D806DE" w:rsidP="00CF23D4">
            <w:pPr>
              <w:spacing w:line="231" w:lineRule="atLeast"/>
              <w:rPr>
                <w:color w:val="000000"/>
                <w:sz w:val="20"/>
                <w:szCs w:val="20"/>
              </w:rPr>
            </w:pPr>
          </w:p>
          <w:p w14:paraId="15CB332A" w14:textId="159885AA" w:rsidR="00D806DE" w:rsidRDefault="00D806DE" w:rsidP="00CF23D4">
            <w:pPr>
              <w:spacing w:line="252" w:lineRule="auto"/>
              <w:rPr>
                <w:sz w:val="20"/>
                <w:szCs w:val="20"/>
              </w:rPr>
            </w:pPr>
          </w:p>
        </w:tc>
      </w:tr>
      <w:bookmarkEnd w:id="0"/>
    </w:tbl>
    <w:p w14:paraId="10BCEE7F" w14:textId="70446F85" w:rsidR="00554C6B" w:rsidRPr="0043535A" w:rsidRDefault="00554C6B" w:rsidP="0043535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EF560" w14:textId="77777777" w:rsidR="00D55530" w:rsidRDefault="00D55530" w:rsidP="00985FF4">
      <w:r>
        <w:separator/>
      </w:r>
    </w:p>
  </w:endnote>
  <w:endnote w:type="continuationSeparator" w:id="0">
    <w:p w14:paraId="65938959" w14:textId="77777777" w:rsidR="00D55530" w:rsidRDefault="00D55530"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678FC" w14:textId="77777777" w:rsidR="00D55530" w:rsidRDefault="00D55530" w:rsidP="00985FF4">
      <w:r>
        <w:separator/>
      </w:r>
    </w:p>
  </w:footnote>
  <w:footnote w:type="continuationSeparator" w:id="0">
    <w:p w14:paraId="7877C45E" w14:textId="77777777" w:rsidR="00D55530" w:rsidRDefault="00D55530"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0CEF499D" w:rsidR="00985FF4" w:rsidRDefault="00985FF4" w:rsidP="00985FF4">
    <w:pPr>
      <w:pStyle w:val="Header"/>
      <w:jc w:val="center"/>
    </w:pPr>
    <w:r>
      <w:t xml:space="preserve">ERCOT Opinions </w:t>
    </w:r>
    <w:r w:rsidR="00557905">
      <w:t xml:space="preserve">and ERCOT Market Impact Statements </w:t>
    </w:r>
    <w:r>
      <w:t xml:space="preserve">for the </w:t>
    </w:r>
    <w:r w:rsidR="0043535A">
      <w:t>0</w:t>
    </w:r>
    <w:r w:rsidR="00983F8E">
      <w:t>9/26</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3F3C"/>
    <w:rsid w:val="000073FB"/>
    <w:rsid w:val="00014426"/>
    <w:rsid w:val="0001521E"/>
    <w:rsid w:val="00026668"/>
    <w:rsid w:val="00032EC2"/>
    <w:rsid w:val="00033A56"/>
    <w:rsid w:val="000362AB"/>
    <w:rsid w:val="00036D21"/>
    <w:rsid w:val="0004714A"/>
    <w:rsid w:val="00077160"/>
    <w:rsid w:val="000831A1"/>
    <w:rsid w:val="000959E0"/>
    <w:rsid w:val="000A464D"/>
    <w:rsid w:val="000A7FEC"/>
    <w:rsid w:val="000B1891"/>
    <w:rsid w:val="000B5B40"/>
    <w:rsid w:val="000C785B"/>
    <w:rsid w:val="000D0353"/>
    <w:rsid w:val="000D0F28"/>
    <w:rsid w:val="000D1D00"/>
    <w:rsid w:val="000E59F8"/>
    <w:rsid w:val="000F22EA"/>
    <w:rsid w:val="000F641B"/>
    <w:rsid w:val="00101B04"/>
    <w:rsid w:val="00101E68"/>
    <w:rsid w:val="00104CBC"/>
    <w:rsid w:val="00106FC1"/>
    <w:rsid w:val="001135EA"/>
    <w:rsid w:val="00114E53"/>
    <w:rsid w:val="001154E1"/>
    <w:rsid w:val="0011791D"/>
    <w:rsid w:val="00120C0C"/>
    <w:rsid w:val="00121A51"/>
    <w:rsid w:val="00124255"/>
    <w:rsid w:val="0012461F"/>
    <w:rsid w:val="00131AD8"/>
    <w:rsid w:val="00145734"/>
    <w:rsid w:val="0016016F"/>
    <w:rsid w:val="00160EE6"/>
    <w:rsid w:val="001625B1"/>
    <w:rsid w:val="001A11D5"/>
    <w:rsid w:val="001A2D79"/>
    <w:rsid w:val="001A5863"/>
    <w:rsid w:val="001A5BB7"/>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62E21"/>
    <w:rsid w:val="00274E29"/>
    <w:rsid w:val="00283FFB"/>
    <w:rsid w:val="00293347"/>
    <w:rsid w:val="002D37DF"/>
    <w:rsid w:val="002D38E6"/>
    <w:rsid w:val="002E28D0"/>
    <w:rsid w:val="002F00A6"/>
    <w:rsid w:val="002F02AA"/>
    <w:rsid w:val="002F35F9"/>
    <w:rsid w:val="002F7FD2"/>
    <w:rsid w:val="00303684"/>
    <w:rsid w:val="003076BB"/>
    <w:rsid w:val="0031372C"/>
    <w:rsid w:val="00313CC7"/>
    <w:rsid w:val="00320296"/>
    <w:rsid w:val="00320D47"/>
    <w:rsid w:val="003215C0"/>
    <w:rsid w:val="00321F9E"/>
    <w:rsid w:val="003250D8"/>
    <w:rsid w:val="00345C3C"/>
    <w:rsid w:val="00346E37"/>
    <w:rsid w:val="003504F7"/>
    <w:rsid w:val="003524E8"/>
    <w:rsid w:val="00355705"/>
    <w:rsid w:val="003700A1"/>
    <w:rsid w:val="003733F6"/>
    <w:rsid w:val="003A2191"/>
    <w:rsid w:val="003B12BD"/>
    <w:rsid w:val="003C69EA"/>
    <w:rsid w:val="003D1D46"/>
    <w:rsid w:val="003D6A28"/>
    <w:rsid w:val="003E1FAB"/>
    <w:rsid w:val="003E6433"/>
    <w:rsid w:val="003F0A77"/>
    <w:rsid w:val="003F0D29"/>
    <w:rsid w:val="003F25EE"/>
    <w:rsid w:val="004249F6"/>
    <w:rsid w:val="00434F24"/>
    <w:rsid w:val="0043535A"/>
    <w:rsid w:val="00443FF2"/>
    <w:rsid w:val="0044443B"/>
    <w:rsid w:val="004447B8"/>
    <w:rsid w:val="00444F23"/>
    <w:rsid w:val="004A5D45"/>
    <w:rsid w:val="004B0899"/>
    <w:rsid w:val="004B12A2"/>
    <w:rsid w:val="004C0100"/>
    <w:rsid w:val="004C1AC0"/>
    <w:rsid w:val="004C2CE0"/>
    <w:rsid w:val="004D2865"/>
    <w:rsid w:val="004D642C"/>
    <w:rsid w:val="004E1095"/>
    <w:rsid w:val="004E7466"/>
    <w:rsid w:val="004F2E07"/>
    <w:rsid w:val="00502C7D"/>
    <w:rsid w:val="0051039A"/>
    <w:rsid w:val="00514792"/>
    <w:rsid w:val="005340BB"/>
    <w:rsid w:val="00536692"/>
    <w:rsid w:val="0054089F"/>
    <w:rsid w:val="005505FC"/>
    <w:rsid w:val="00554C6B"/>
    <w:rsid w:val="00557905"/>
    <w:rsid w:val="00560972"/>
    <w:rsid w:val="00566AFF"/>
    <w:rsid w:val="0057069B"/>
    <w:rsid w:val="00572279"/>
    <w:rsid w:val="00572FC4"/>
    <w:rsid w:val="0058786D"/>
    <w:rsid w:val="00593488"/>
    <w:rsid w:val="005A278D"/>
    <w:rsid w:val="005B20DF"/>
    <w:rsid w:val="005B2B55"/>
    <w:rsid w:val="005C6553"/>
    <w:rsid w:val="005D278C"/>
    <w:rsid w:val="005E0F49"/>
    <w:rsid w:val="005E147E"/>
    <w:rsid w:val="005E1FB0"/>
    <w:rsid w:val="005E229D"/>
    <w:rsid w:val="005E3A8D"/>
    <w:rsid w:val="005E6217"/>
    <w:rsid w:val="005F6CDD"/>
    <w:rsid w:val="006056C9"/>
    <w:rsid w:val="006238D2"/>
    <w:rsid w:val="006256A5"/>
    <w:rsid w:val="0063079C"/>
    <w:rsid w:val="006332E6"/>
    <w:rsid w:val="0063390E"/>
    <w:rsid w:val="0063436F"/>
    <w:rsid w:val="006357E3"/>
    <w:rsid w:val="0066245C"/>
    <w:rsid w:val="00663AA2"/>
    <w:rsid w:val="00665D76"/>
    <w:rsid w:val="006679D2"/>
    <w:rsid w:val="006723B7"/>
    <w:rsid w:val="00672B98"/>
    <w:rsid w:val="00684FF7"/>
    <w:rsid w:val="006942EA"/>
    <w:rsid w:val="006B11F5"/>
    <w:rsid w:val="006B34E3"/>
    <w:rsid w:val="006B4142"/>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C79F2"/>
    <w:rsid w:val="007D6858"/>
    <w:rsid w:val="007E12E0"/>
    <w:rsid w:val="007E5AAA"/>
    <w:rsid w:val="007F3DD6"/>
    <w:rsid w:val="00805A86"/>
    <w:rsid w:val="00813BAC"/>
    <w:rsid w:val="00825E43"/>
    <w:rsid w:val="00841F6C"/>
    <w:rsid w:val="00855C1B"/>
    <w:rsid w:val="00885262"/>
    <w:rsid w:val="008874B6"/>
    <w:rsid w:val="00890DF0"/>
    <w:rsid w:val="008A1AAE"/>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55EF1"/>
    <w:rsid w:val="0096024F"/>
    <w:rsid w:val="00965358"/>
    <w:rsid w:val="00971A8E"/>
    <w:rsid w:val="00981A1E"/>
    <w:rsid w:val="00983F8E"/>
    <w:rsid w:val="00985FF4"/>
    <w:rsid w:val="00991077"/>
    <w:rsid w:val="00992EF1"/>
    <w:rsid w:val="00993006"/>
    <w:rsid w:val="009A33A9"/>
    <w:rsid w:val="009B27B4"/>
    <w:rsid w:val="009B474D"/>
    <w:rsid w:val="009B4BD7"/>
    <w:rsid w:val="009C5427"/>
    <w:rsid w:val="009D7DCD"/>
    <w:rsid w:val="009F28CC"/>
    <w:rsid w:val="00A11AAC"/>
    <w:rsid w:val="00A21AB4"/>
    <w:rsid w:val="00A47CD1"/>
    <w:rsid w:val="00A6136D"/>
    <w:rsid w:val="00A6450D"/>
    <w:rsid w:val="00A648EA"/>
    <w:rsid w:val="00A715C7"/>
    <w:rsid w:val="00A72B66"/>
    <w:rsid w:val="00A75139"/>
    <w:rsid w:val="00A80332"/>
    <w:rsid w:val="00A865FA"/>
    <w:rsid w:val="00A94986"/>
    <w:rsid w:val="00A961A8"/>
    <w:rsid w:val="00A96B54"/>
    <w:rsid w:val="00AA0971"/>
    <w:rsid w:val="00AA15FA"/>
    <w:rsid w:val="00AA2B1E"/>
    <w:rsid w:val="00AA5D58"/>
    <w:rsid w:val="00AA7466"/>
    <w:rsid w:val="00AB495B"/>
    <w:rsid w:val="00AC0725"/>
    <w:rsid w:val="00AC0F63"/>
    <w:rsid w:val="00AC3DA0"/>
    <w:rsid w:val="00AD50EB"/>
    <w:rsid w:val="00B0155A"/>
    <w:rsid w:val="00B04070"/>
    <w:rsid w:val="00B079DA"/>
    <w:rsid w:val="00B125ED"/>
    <w:rsid w:val="00B152E0"/>
    <w:rsid w:val="00B247DA"/>
    <w:rsid w:val="00B510EE"/>
    <w:rsid w:val="00B52E33"/>
    <w:rsid w:val="00B533F4"/>
    <w:rsid w:val="00B615F1"/>
    <w:rsid w:val="00B61A42"/>
    <w:rsid w:val="00B87C79"/>
    <w:rsid w:val="00B919F7"/>
    <w:rsid w:val="00BC203D"/>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973F1"/>
    <w:rsid w:val="00CA3A69"/>
    <w:rsid w:val="00CA727A"/>
    <w:rsid w:val="00CC25B3"/>
    <w:rsid w:val="00CD65CC"/>
    <w:rsid w:val="00CF23D4"/>
    <w:rsid w:val="00CF69AA"/>
    <w:rsid w:val="00D26039"/>
    <w:rsid w:val="00D31647"/>
    <w:rsid w:val="00D436A5"/>
    <w:rsid w:val="00D43D5F"/>
    <w:rsid w:val="00D54ED3"/>
    <w:rsid w:val="00D55530"/>
    <w:rsid w:val="00D63D9E"/>
    <w:rsid w:val="00D806DE"/>
    <w:rsid w:val="00D807DF"/>
    <w:rsid w:val="00D9087F"/>
    <w:rsid w:val="00DA2A46"/>
    <w:rsid w:val="00DB2035"/>
    <w:rsid w:val="00DC39B6"/>
    <w:rsid w:val="00DC6449"/>
    <w:rsid w:val="00DD53BA"/>
    <w:rsid w:val="00DE3961"/>
    <w:rsid w:val="00DF1748"/>
    <w:rsid w:val="00E0125B"/>
    <w:rsid w:val="00E02B59"/>
    <w:rsid w:val="00E07C02"/>
    <w:rsid w:val="00E238B8"/>
    <w:rsid w:val="00E30331"/>
    <w:rsid w:val="00E35ED2"/>
    <w:rsid w:val="00E53E2D"/>
    <w:rsid w:val="00E60BF8"/>
    <w:rsid w:val="00E62AA6"/>
    <w:rsid w:val="00E666FF"/>
    <w:rsid w:val="00E66AC7"/>
    <w:rsid w:val="00E71BAA"/>
    <w:rsid w:val="00E7340C"/>
    <w:rsid w:val="00E76DAD"/>
    <w:rsid w:val="00E77AA5"/>
    <w:rsid w:val="00E8061B"/>
    <w:rsid w:val="00E85CE6"/>
    <w:rsid w:val="00E950DB"/>
    <w:rsid w:val="00EA187D"/>
    <w:rsid w:val="00EA5A35"/>
    <w:rsid w:val="00EB4A3E"/>
    <w:rsid w:val="00ED0E29"/>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 w:type="paragraph" w:styleId="Revision">
    <w:name w:val="Revision"/>
    <w:hidden/>
    <w:uiPriority w:val="99"/>
    <w:semiHidden/>
    <w:rsid w:val="00003F3C"/>
    <w:pPr>
      <w:spacing w:after="0" w:line="240" w:lineRule="auto"/>
    </w:pPr>
    <w:rPr>
      <w:rFonts w:ascii="Calibri" w:hAnsi="Calibri" w:cs="Times New Roman"/>
    </w:rPr>
  </w:style>
  <w:style w:type="character" w:styleId="CommentReference">
    <w:name w:val="annotation reference"/>
    <w:basedOn w:val="DefaultParagraphFont"/>
    <w:uiPriority w:val="99"/>
    <w:semiHidden/>
    <w:unhideWhenUsed/>
    <w:rsid w:val="00003F3C"/>
    <w:rPr>
      <w:sz w:val="16"/>
      <w:szCs w:val="16"/>
    </w:rPr>
  </w:style>
  <w:style w:type="paragraph" w:styleId="CommentText">
    <w:name w:val="annotation text"/>
    <w:basedOn w:val="Normal"/>
    <w:link w:val="CommentTextChar"/>
    <w:uiPriority w:val="99"/>
    <w:unhideWhenUsed/>
    <w:rsid w:val="00003F3C"/>
    <w:rPr>
      <w:sz w:val="20"/>
      <w:szCs w:val="20"/>
    </w:rPr>
  </w:style>
  <w:style w:type="character" w:customStyle="1" w:styleId="CommentTextChar">
    <w:name w:val="Comment Text Char"/>
    <w:basedOn w:val="DefaultParagraphFont"/>
    <w:link w:val="CommentText"/>
    <w:uiPriority w:val="99"/>
    <w:rsid w:val="00003F3C"/>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03F3C"/>
    <w:rPr>
      <w:b/>
      <w:bCs/>
    </w:rPr>
  </w:style>
  <w:style w:type="character" w:customStyle="1" w:styleId="CommentSubjectChar">
    <w:name w:val="Comment Subject Char"/>
    <w:basedOn w:val="CommentTextChar"/>
    <w:link w:val="CommentSubject"/>
    <w:uiPriority w:val="99"/>
    <w:semiHidden/>
    <w:rsid w:val="00003F3C"/>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385791070">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2023-09-22T18:35:00Z</dcterms:created>
  <dcterms:modified xsi:type="dcterms:W3CDTF">2023-09-22T18:35:00Z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